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72D" w:rsidRPr="001C03A7" w:rsidRDefault="00A7772D" w:rsidP="00BE655E">
      <w:pPr>
        <w:spacing w:line="480" w:lineRule="auto"/>
        <w:ind w:firstLine="720"/>
        <w:jc w:val="center"/>
        <w:rPr>
          <w:rFonts w:ascii="Times New Roman" w:hAnsi="Times New Roman" w:cs="Times New Roman"/>
          <w:sz w:val="24"/>
          <w:szCs w:val="24"/>
        </w:rPr>
      </w:pPr>
      <w:r w:rsidRPr="001C03A7">
        <w:rPr>
          <w:rFonts w:ascii="Times New Roman" w:hAnsi="Times New Roman" w:cs="Times New Roman"/>
          <w:sz w:val="24"/>
          <w:szCs w:val="24"/>
        </w:rPr>
        <w:t>Response to Octavia</w:t>
      </w:r>
    </w:p>
    <w:p w:rsidR="00A7772D" w:rsidRDefault="00A7772D" w:rsidP="004A70B2">
      <w:pPr>
        <w:spacing w:line="480" w:lineRule="auto"/>
        <w:ind w:firstLine="720"/>
        <w:rPr>
          <w:rFonts w:ascii="Times New Roman" w:hAnsi="Times New Roman" w:cs="Times New Roman"/>
          <w:sz w:val="24"/>
          <w:szCs w:val="24"/>
        </w:rPr>
      </w:pPr>
      <w:r w:rsidRPr="001C03A7">
        <w:rPr>
          <w:rFonts w:ascii="Times New Roman" w:hAnsi="Times New Roman" w:cs="Times New Roman"/>
          <w:sz w:val="24"/>
          <w:szCs w:val="24"/>
        </w:rPr>
        <w:t xml:space="preserve"> Thank you, Octavia, for sharing your discussion. </w:t>
      </w:r>
      <w:r w:rsidR="002B390A">
        <w:rPr>
          <w:rFonts w:ascii="Times New Roman" w:hAnsi="Times New Roman" w:cs="Times New Roman"/>
          <w:sz w:val="24"/>
          <w:szCs w:val="24"/>
        </w:rPr>
        <w:t>As noted, c</w:t>
      </w:r>
      <w:r w:rsidRPr="001C03A7">
        <w:rPr>
          <w:rFonts w:ascii="Times New Roman" w:hAnsi="Times New Roman" w:cs="Times New Roman"/>
          <w:sz w:val="24"/>
          <w:szCs w:val="24"/>
        </w:rPr>
        <w:t xml:space="preserve">lawback provision is mostly used to recover money paid </w:t>
      </w:r>
      <w:r w:rsidR="00BE655E">
        <w:rPr>
          <w:rFonts w:ascii="Times New Roman" w:hAnsi="Times New Roman" w:cs="Times New Roman"/>
          <w:sz w:val="24"/>
          <w:szCs w:val="24"/>
        </w:rPr>
        <w:t>employees or organizations who fail to meet the expectations of their agreement</w:t>
      </w:r>
      <w:r w:rsidRPr="001C03A7">
        <w:rPr>
          <w:rFonts w:ascii="Times New Roman" w:hAnsi="Times New Roman" w:cs="Times New Roman"/>
          <w:sz w:val="24"/>
          <w:szCs w:val="24"/>
        </w:rPr>
        <w:t xml:space="preserve">. The payments are required by the law only when a successive financial restatement eliminates the basis for the incentive payments. Clawback provision helps to reduce fraud and risks in </w:t>
      </w:r>
      <w:r w:rsidR="00BE655E">
        <w:rPr>
          <w:rFonts w:ascii="Times New Roman" w:hAnsi="Times New Roman" w:cs="Times New Roman"/>
          <w:sz w:val="24"/>
          <w:szCs w:val="24"/>
        </w:rPr>
        <w:t>organizations and financial institutions (Gillan &amp; Nguyen 2018)</w:t>
      </w:r>
      <w:r w:rsidRPr="001C03A7">
        <w:rPr>
          <w:rFonts w:ascii="Times New Roman" w:hAnsi="Times New Roman" w:cs="Times New Roman"/>
          <w:sz w:val="24"/>
          <w:szCs w:val="24"/>
        </w:rPr>
        <w:t>. Clawbacks are utilized differently by different institutions as per their policies and the compensation agreement of the organization</w:t>
      </w:r>
      <w:r w:rsidR="00BE655E">
        <w:rPr>
          <w:rFonts w:ascii="Times New Roman" w:hAnsi="Times New Roman" w:cs="Times New Roman"/>
          <w:sz w:val="24"/>
          <w:szCs w:val="24"/>
        </w:rPr>
        <w:t>.</w:t>
      </w:r>
    </w:p>
    <w:p w:rsidR="00BE655E" w:rsidRPr="001C03A7" w:rsidRDefault="00BE655E" w:rsidP="00BE65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381AEC" w:rsidRPr="001C03A7" w:rsidRDefault="00381AEC" w:rsidP="00BE655E">
      <w:pPr>
        <w:spacing w:line="480" w:lineRule="auto"/>
        <w:ind w:left="720" w:hanging="720"/>
        <w:rPr>
          <w:rFonts w:ascii="Times New Roman" w:hAnsi="Times New Roman" w:cs="Times New Roman"/>
          <w:sz w:val="24"/>
          <w:szCs w:val="24"/>
        </w:rPr>
      </w:pPr>
      <w:r w:rsidRPr="001C03A7">
        <w:rPr>
          <w:rFonts w:ascii="Times New Roman" w:hAnsi="Times New Roman" w:cs="Times New Roman"/>
          <w:color w:val="222222"/>
          <w:sz w:val="24"/>
          <w:szCs w:val="24"/>
          <w:shd w:val="clear" w:color="auto" w:fill="FFFFFF"/>
        </w:rPr>
        <w:t>Gillan, S. L., &amp; Nguyen, N. Q. (2018). Clawbacks, holdbacks, and CEO contracting. </w:t>
      </w:r>
      <w:r w:rsidRPr="001C03A7">
        <w:rPr>
          <w:rFonts w:ascii="Times New Roman" w:hAnsi="Times New Roman" w:cs="Times New Roman"/>
          <w:i/>
          <w:iCs/>
          <w:color w:val="222222"/>
          <w:sz w:val="24"/>
          <w:szCs w:val="24"/>
          <w:shd w:val="clear" w:color="auto" w:fill="FFFFFF"/>
        </w:rPr>
        <w:t>Journal of Applied Corporate Finance</w:t>
      </w:r>
      <w:r w:rsidRPr="001C03A7">
        <w:rPr>
          <w:rFonts w:ascii="Times New Roman" w:hAnsi="Times New Roman" w:cs="Times New Roman"/>
          <w:color w:val="222222"/>
          <w:sz w:val="24"/>
          <w:szCs w:val="24"/>
          <w:shd w:val="clear" w:color="auto" w:fill="FFFFFF"/>
        </w:rPr>
        <w:t>, </w:t>
      </w:r>
      <w:r w:rsidRPr="001C03A7">
        <w:rPr>
          <w:rFonts w:ascii="Times New Roman" w:hAnsi="Times New Roman" w:cs="Times New Roman"/>
          <w:i/>
          <w:iCs/>
          <w:color w:val="222222"/>
          <w:sz w:val="24"/>
          <w:szCs w:val="24"/>
          <w:shd w:val="clear" w:color="auto" w:fill="FFFFFF"/>
        </w:rPr>
        <w:t>30</w:t>
      </w:r>
      <w:r w:rsidRPr="001C03A7">
        <w:rPr>
          <w:rFonts w:ascii="Times New Roman" w:hAnsi="Times New Roman" w:cs="Times New Roman"/>
          <w:color w:val="222222"/>
          <w:sz w:val="24"/>
          <w:szCs w:val="24"/>
          <w:shd w:val="clear" w:color="auto" w:fill="FFFFFF"/>
        </w:rPr>
        <w:t>(1), 53-61.</w:t>
      </w:r>
    </w:p>
    <w:p w:rsidR="00A7772D" w:rsidRPr="001C03A7" w:rsidRDefault="00A7772D" w:rsidP="00752979">
      <w:pPr>
        <w:spacing w:line="480" w:lineRule="auto"/>
        <w:ind w:firstLine="720"/>
        <w:jc w:val="center"/>
        <w:rPr>
          <w:rFonts w:ascii="Times New Roman" w:hAnsi="Times New Roman" w:cs="Times New Roman"/>
          <w:sz w:val="24"/>
          <w:szCs w:val="24"/>
        </w:rPr>
      </w:pPr>
      <w:r w:rsidRPr="001C03A7">
        <w:rPr>
          <w:rFonts w:ascii="Times New Roman" w:hAnsi="Times New Roman" w:cs="Times New Roman"/>
          <w:sz w:val="24"/>
          <w:szCs w:val="24"/>
        </w:rPr>
        <w:t>Response to Professor</w:t>
      </w:r>
    </w:p>
    <w:p w:rsidR="00A7772D" w:rsidRDefault="00A7772D" w:rsidP="004A70B2">
      <w:pPr>
        <w:spacing w:line="480" w:lineRule="auto"/>
        <w:ind w:firstLine="720"/>
        <w:rPr>
          <w:rFonts w:ascii="Times New Roman" w:hAnsi="Times New Roman" w:cs="Times New Roman"/>
          <w:sz w:val="24"/>
          <w:szCs w:val="24"/>
        </w:rPr>
      </w:pPr>
      <w:r w:rsidRPr="001C03A7">
        <w:rPr>
          <w:rFonts w:ascii="Times New Roman" w:hAnsi="Times New Roman" w:cs="Times New Roman"/>
          <w:sz w:val="24"/>
          <w:szCs w:val="24"/>
        </w:rPr>
        <w:t>Hello Professor, thank</w:t>
      </w:r>
      <w:r w:rsidR="002B390A">
        <w:rPr>
          <w:rFonts w:ascii="Times New Roman" w:hAnsi="Times New Roman" w:cs="Times New Roman"/>
          <w:sz w:val="24"/>
          <w:szCs w:val="24"/>
        </w:rPr>
        <w:t xml:space="preserve"> you for the comments</w:t>
      </w:r>
      <w:r w:rsidRPr="001C03A7">
        <w:rPr>
          <w:rFonts w:ascii="Times New Roman" w:hAnsi="Times New Roman" w:cs="Times New Roman"/>
          <w:sz w:val="24"/>
          <w:szCs w:val="24"/>
        </w:rPr>
        <w:t>. Clawback policies require the party involved to pay additional funds when put in effect. The extra charges that come with clawback provision prevent employees or companies from using false information in their contracts</w:t>
      </w:r>
      <w:r w:rsidR="00752979">
        <w:rPr>
          <w:rFonts w:ascii="Times New Roman" w:hAnsi="Times New Roman" w:cs="Times New Roman"/>
          <w:sz w:val="24"/>
          <w:szCs w:val="24"/>
        </w:rPr>
        <w:t xml:space="preserve"> to avoid the charges</w:t>
      </w:r>
      <w:r w:rsidRPr="001C03A7">
        <w:rPr>
          <w:rFonts w:ascii="Times New Roman" w:hAnsi="Times New Roman" w:cs="Times New Roman"/>
          <w:sz w:val="24"/>
          <w:szCs w:val="24"/>
        </w:rPr>
        <w:t xml:space="preserve">. </w:t>
      </w:r>
      <w:r w:rsidR="00394AA1">
        <w:rPr>
          <w:rFonts w:ascii="Times New Roman" w:hAnsi="Times New Roman" w:cs="Times New Roman"/>
          <w:sz w:val="24"/>
          <w:szCs w:val="24"/>
        </w:rPr>
        <w:t>According to Levine &amp; smith (2019), c</w:t>
      </w:r>
      <w:r w:rsidRPr="001C03A7">
        <w:rPr>
          <w:rFonts w:ascii="Times New Roman" w:hAnsi="Times New Roman" w:cs="Times New Roman"/>
          <w:sz w:val="24"/>
          <w:szCs w:val="24"/>
        </w:rPr>
        <w:t>lawback is important since it helps restore and maintain the confidence of investors a</w:t>
      </w:r>
      <w:r w:rsidR="00024EF4">
        <w:rPr>
          <w:rFonts w:ascii="Times New Roman" w:hAnsi="Times New Roman" w:cs="Times New Roman"/>
          <w:sz w:val="24"/>
          <w:szCs w:val="24"/>
        </w:rPr>
        <w:t>nd</w:t>
      </w:r>
      <w:r w:rsidRPr="001C03A7">
        <w:rPr>
          <w:rFonts w:ascii="Times New Roman" w:hAnsi="Times New Roman" w:cs="Times New Roman"/>
          <w:sz w:val="24"/>
          <w:szCs w:val="24"/>
        </w:rPr>
        <w:t xml:space="preserve"> employees in an organization. Clawbacks prevent any financial crisis from happening in an organization.</w:t>
      </w:r>
    </w:p>
    <w:p w:rsidR="00394AA1" w:rsidRPr="001C03A7" w:rsidRDefault="00394AA1" w:rsidP="00394A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381AEC" w:rsidRPr="001C03A7" w:rsidRDefault="00381AEC" w:rsidP="00394AA1">
      <w:pPr>
        <w:spacing w:line="480" w:lineRule="auto"/>
        <w:ind w:left="720" w:hanging="720"/>
        <w:rPr>
          <w:rFonts w:ascii="Times New Roman" w:hAnsi="Times New Roman" w:cs="Times New Roman"/>
          <w:sz w:val="24"/>
          <w:szCs w:val="24"/>
        </w:rPr>
      </w:pPr>
      <w:r w:rsidRPr="001C03A7">
        <w:rPr>
          <w:rFonts w:ascii="Times New Roman" w:hAnsi="Times New Roman" w:cs="Times New Roman"/>
          <w:color w:val="222222"/>
          <w:sz w:val="24"/>
          <w:szCs w:val="24"/>
          <w:shd w:val="clear" w:color="auto" w:fill="FFFFFF"/>
        </w:rPr>
        <w:t>Levine, C. B., &amp; Smith, M. J. (2019). Clawbacks and Earnings Management. </w:t>
      </w:r>
      <w:r w:rsidRPr="001C03A7">
        <w:rPr>
          <w:rFonts w:ascii="Times New Roman" w:hAnsi="Times New Roman" w:cs="Times New Roman"/>
          <w:i/>
          <w:iCs/>
          <w:color w:val="222222"/>
          <w:sz w:val="24"/>
          <w:szCs w:val="24"/>
          <w:shd w:val="clear" w:color="auto" w:fill="FFFFFF"/>
        </w:rPr>
        <w:t>Journal of Management Accounting Research</w:t>
      </w:r>
      <w:r w:rsidRPr="001C03A7">
        <w:rPr>
          <w:rFonts w:ascii="Times New Roman" w:hAnsi="Times New Roman" w:cs="Times New Roman"/>
          <w:color w:val="222222"/>
          <w:sz w:val="24"/>
          <w:szCs w:val="24"/>
          <w:shd w:val="clear" w:color="auto" w:fill="FFFFFF"/>
        </w:rPr>
        <w:t>, </w:t>
      </w:r>
      <w:r w:rsidRPr="001C03A7">
        <w:rPr>
          <w:rFonts w:ascii="Times New Roman" w:hAnsi="Times New Roman" w:cs="Times New Roman"/>
          <w:i/>
          <w:iCs/>
          <w:color w:val="222222"/>
          <w:sz w:val="24"/>
          <w:szCs w:val="24"/>
          <w:shd w:val="clear" w:color="auto" w:fill="FFFFFF"/>
        </w:rPr>
        <w:t>31</w:t>
      </w:r>
      <w:r w:rsidRPr="001C03A7">
        <w:rPr>
          <w:rFonts w:ascii="Times New Roman" w:hAnsi="Times New Roman" w:cs="Times New Roman"/>
          <w:color w:val="222222"/>
          <w:sz w:val="24"/>
          <w:szCs w:val="24"/>
          <w:shd w:val="clear" w:color="auto" w:fill="FFFFFF"/>
        </w:rPr>
        <w:t>(3), 129-151.</w:t>
      </w:r>
    </w:p>
    <w:p w:rsidR="00A7772D" w:rsidRPr="001C03A7" w:rsidRDefault="00A7772D" w:rsidP="00A00341">
      <w:pPr>
        <w:spacing w:line="480" w:lineRule="auto"/>
        <w:ind w:firstLine="720"/>
        <w:jc w:val="center"/>
        <w:rPr>
          <w:rFonts w:ascii="Times New Roman" w:hAnsi="Times New Roman" w:cs="Times New Roman"/>
          <w:sz w:val="24"/>
          <w:szCs w:val="24"/>
        </w:rPr>
      </w:pPr>
      <w:r w:rsidRPr="001C03A7">
        <w:rPr>
          <w:rFonts w:ascii="Times New Roman" w:hAnsi="Times New Roman" w:cs="Times New Roman"/>
          <w:sz w:val="24"/>
          <w:szCs w:val="24"/>
        </w:rPr>
        <w:lastRenderedPageBreak/>
        <w:t>Response to Laura</w:t>
      </w:r>
    </w:p>
    <w:p w:rsidR="00A7772D" w:rsidRDefault="00A7772D" w:rsidP="004A70B2">
      <w:pPr>
        <w:spacing w:line="480" w:lineRule="auto"/>
        <w:ind w:firstLine="720"/>
        <w:rPr>
          <w:rFonts w:ascii="Times New Roman" w:hAnsi="Times New Roman" w:cs="Times New Roman"/>
          <w:sz w:val="24"/>
          <w:szCs w:val="24"/>
        </w:rPr>
      </w:pPr>
      <w:r w:rsidRPr="001C03A7">
        <w:rPr>
          <w:rFonts w:ascii="Times New Roman" w:hAnsi="Times New Roman" w:cs="Times New Roman"/>
          <w:sz w:val="24"/>
          <w:szCs w:val="24"/>
        </w:rPr>
        <w:t xml:space="preserve"> Thank you, Laura, for sharing your discussion. A zone of possible agreement is the range of negotiating where parties may find a common understanding. A ZOPA only exits where there is an overlap with the expectations of the concerned parties in the agreement</w:t>
      </w:r>
      <w:r w:rsidR="00A00341">
        <w:rPr>
          <w:rFonts w:ascii="Times New Roman" w:hAnsi="Times New Roman" w:cs="Times New Roman"/>
          <w:sz w:val="24"/>
          <w:szCs w:val="24"/>
        </w:rPr>
        <w:t xml:space="preserve"> (Chatterjee &amp; Singh 2020)</w:t>
      </w:r>
      <w:r w:rsidRPr="001C03A7">
        <w:rPr>
          <w:rFonts w:ascii="Times New Roman" w:hAnsi="Times New Roman" w:cs="Times New Roman"/>
          <w:sz w:val="24"/>
          <w:szCs w:val="24"/>
        </w:rPr>
        <w:t xml:space="preserve">. The negotiating parties are said to be in a negative bargaining zone when they do not reach an agreement even after </w:t>
      </w:r>
      <w:r w:rsidR="00A00341">
        <w:rPr>
          <w:rFonts w:ascii="Times New Roman" w:hAnsi="Times New Roman" w:cs="Times New Roman"/>
          <w:sz w:val="24"/>
          <w:szCs w:val="24"/>
        </w:rPr>
        <w:t xml:space="preserve">reaching </w:t>
      </w:r>
      <w:r w:rsidRPr="001C03A7">
        <w:rPr>
          <w:rFonts w:ascii="Times New Roman" w:hAnsi="Times New Roman" w:cs="Times New Roman"/>
          <w:sz w:val="24"/>
          <w:szCs w:val="24"/>
        </w:rPr>
        <w:t>the ZOPA. For the negotiation to be successful, the parties involved should understand each other's values, needs, and interests.</w:t>
      </w:r>
    </w:p>
    <w:p w:rsidR="00CF388B" w:rsidRPr="001C03A7" w:rsidRDefault="00CF388B" w:rsidP="00CF38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C0531A" w:rsidRPr="001C03A7" w:rsidRDefault="00C0531A" w:rsidP="00CF388B">
      <w:pPr>
        <w:spacing w:line="480" w:lineRule="auto"/>
        <w:ind w:left="720" w:hanging="720"/>
        <w:rPr>
          <w:rFonts w:ascii="Times New Roman" w:hAnsi="Times New Roman" w:cs="Times New Roman"/>
          <w:sz w:val="24"/>
          <w:szCs w:val="24"/>
        </w:rPr>
      </w:pPr>
      <w:r w:rsidRPr="001C03A7">
        <w:rPr>
          <w:rFonts w:ascii="Times New Roman" w:hAnsi="Times New Roman" w:cs="Times New Roman"/>
          <w:color w:val="222222"/>
          <w:sz w:val="24"/>
          <w:szCs w:val="24"/>
          <w:shd w:val="clear" w:color="auto" w:fill="FFFFFF"/>
        </w:rPr>
        <w:t>Chatterjee, D., &amp; Singh, A. P. (2020, February). Zone of Possible Agreement in Negotiation: Impact of Gender and Personality. In </w:t>
      </w:r>
      <w:r w:rsidRPr="001C03A7">
        <w:rPr>
          <w:rFonts w:ascii="Times New Roman" w:hAnsi="Times New Roman" w:cs="Times New Roman"/>
          <w:i/>
          <w:iCs/>
          <w:color w:val="222222"/>
          <w:sz w:val="24"/>
          <w:szCs w:val="24"/>
          <w:shd w:val="clear" w:color="auto" w:fill="FFFFFF"/>
        </w:rPr>
        <w:t>Proceedings of International Academic Conferences</w:t>
      </w:r>
      <w:r w:rsidRPr="001C03A7">
        <w:rPr>
          <w:rFonts w:ascii="Times New Roman" w:hAnsi="Times New Roman" w:cs="Times New Roman"/>
          <w:color w:val="222222"/>
          <w:sz w:val="24"/>
          <w:szCs w:val="24"/>
          <w:shd w:val="clear" w:color="auto" w:fill="FFFFFF"/>
        </w:rPr>
        <w:t> (No. 10012557). International Institute of Social and Economic Sciences.</w:t>
      </w:r>
    </w:p>
    <w:p w:rsidR="00A7772D" w:rsidRPr="001C03A7" w:rsidRDefault="00A7772D" w:rsidP="00CF388B">
      <w:pPr>
        <w:spacing w:line="480" w:lineRule="auto"/>
        <w:ind w:firstLine="720"/>
        <w:jc w:val="center"/>
        <w:rPr>
          <w:rFonts w:ascii="Times New Roman" w:hAnsi="Times New Roman" w:cs="Times New Roman"/>
          <w:sz w:val="24"/>
          <w:szCs w:val="24"/>
        </w:rPr>
      </w:pPr>
      <w:r w:rsidRPr="001C03A7">
        <w:rPr>
          <w:rFonts w:ascii="Times New Roman" w:hAnsi="Times New Roman" w:cs="Times New Roman"/>
          <w:sz w:val="24"/>
          <w:szCs w:val="24"/>
        </w:rPr>
        <w:t>Response to Professor</w:t>
      </w:r>
    </w:p>
    <w:p w:rsidR="00C2242C" w:rsidRDefault="00CF388B" w:rsidP="004A70B2">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Professor, thank you</w:t>
      </w:r>
      <w:r w:rsidR="002B390A">
        <w:rPr>
          <w:rFonts w:ascii="Times New Roman" w:hAnsi="Times New Roman" w:cs="Times New Roman"/>
          <w:sz w:val="24"/>
          <w:szCs w:val="24"/>
        </w:rPr>
        <w:t xml:space="preserve"> your insights.</w:t>
      </w:r>
      <w:r>
        <w:rPr>
          <w:rFonts w:ascii="Times New Roman" w:hAnsi="Times New Roman" w:cs="Times New Roman"/>
          <w:sz w:val="24"/>
          <w:szCs w:val="24"/>
        </w:rPr>
        <w:t xml:space="preserve"> </w:t>
      </w:r>
      <w:r w:rsidR="002B390A">
        <w:rPr>
          <w:rFonts w:ascii="Times New Roman" w:hAnsi="Times New Roman" w:cs="Times New Roman"/>
          <w:sz w:val="24"/>
          <w:szCs w:val="24"/>
        </w:rPr>
        <w:t>Notably, p</w:t>
      </w:r>
      <w:r w:rsidR="00A7772D" w:rsidRPr="001C03A7">
        <w:rPr>
          <w:rFonts w:ascii="Times New Roman" w:hAnsi="Times New Roman" w:cs="Times New Roman"/>
          <w:sz w:val="24"/>
          <w:szCs w:val="24"/>
        </w:rPr>
        <w:t xml:space="preserve">arties that cannot reach a positive bargaining zone are unable to reach ZOPA. Parties are unable to come into an agreement if they feel that their needs are not being considered. For the parties to reach a ZOPA, they should make efforts to understand each other's needs and desires and reach a common goal. </w:t>
      </w:r>
      <w:r>
        <w:rPr>
          <w:rFonts w:ascii="Times New Roman" w:hAnsi="Times New Roman" w:cs="Times New Roman"/>
          <w:sz w:val="24"/>
          <w:szCs w:val="24"/>
        </w:rPr>
        <w:t xml:space="preserve">(Ahlert &amp; Strater 20160. </w:t>
      </w:r>
      <w:r w:rsidR="00A7772D" w:rsidRPr="001C03A7">
        <w:rPr>
          <w:rFonts w:ascii="Times New Roman" w:hAnsi="Times New Roman" w:cs="Times New Roman"/>
          <w:sz w:val="24"/>
          <w:szCs w:val="24"/>
        </w:rPr>
        <w:t>When the parties have a small ZOPA, they face difficulties finding agreeable terms to enable them to come into an agreement.</w:t>
      </w:r>
    </w:p>
    <w:p w:rsidR="00011D5F" w:rsidRPr="001C03A7" w:rsidRDefault="00011D5F" w:rsidP="00011D5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C0531A" w:rsidRPr="001C03A7" w:rsidRDefault="00C0531A" w:rsidP="00011D5F">
      <w:pPr>
        <w:spacing w:line="480" w:lineRule="auto"/>
        <w:ind w:left="720" w:hanging="720"/>
        <w:rPr>
          <w:rFonts w:ascii="Times New Roman" w:hAnsi="Times New Roman" w:cs="Times New Roman"/>
          <w:sz w:val="24"/>
          <w:szCs w:val="24"/>
        </w:rPr>
      </w:pPr>
      <w:r w:rsidRPr="001C03A7">
        <w:rPr>
          <w:rFonts w:ascii="Times New Roman" w:hAnsi="Times New Roman" w:cs="Times New Roman"/>
          <w:color w:val="222222"/>
          <w:sz w:val="24"/>
          <w:szCs w:val="24"/>
          <w:shd w:val="clear" w:color="auto" w:fill="FFFFFF"/>
        </w:rPr>
        <w:t>Ahlert, M., &amp; Sträter, K. F. (2016). Refining Raiffa–Aspiration Adaptation within the Zone of Possible Agreements. </w:t>
      </w:r>
      <w:r w:rsidRPr="001C03A7">
        <w:rPr>
          <w:rFonts w:ascii="Times New Roman" w:hAnsi="Times New Roman" w:cs="Times New Roman"/>
          <w:i/>
          <w:iCs/>
          <w:color w:val="222222"/>
          <w:sz w:val="24"/>
          <w:szCs w:val="24"/>
          <w:shd w:val="clear" w:color="auto" w:fill="FFFFFF"/>
        </w:rPr>
        <w:t>German Economic Review</w:t>
      </w:r>
      <w:r w:rsidRPr="001C03A7">
        <w:rPr>
          <w:rFonts w:ascii="Times New Roman" w:hAnsi="Times New Roman" w:cs="Times New Roman"/>
          <w:color w:val="222222"/>
          <w:sz w:val="24"/>
          <w:szCs w:val="24"/>
          <w:shd w:val="clear" w:color="auto" w:fill="FFFFFF"/>
        </w:rPr>
        <w:t>, </w:t>
      </w:r>
      <w:r w:rsidRPr="001C03A7">
        <w:rPr>
          <w:rFonts w:ascii="Times New Roman" w:hAnsi="Times New Roman" w:cs="Times New Roman"/>
          <w:i/>
          <w:iCs/>
          <w:color w:val="222222"/>
          <w:sz w:val="24"/>
          <w:szCs w:val="24"/>
          <w:shd w:val="clear" w:color="auto" w:fill="FFFFFF"/>
        </w:rPr>
        <w:t>17</w:t>
      </w:r>
      <w:r w:rsidRPr="001C03A7">
        <w:rPr>
          <w:rFonts w:ascii="Times New Roman" w:hAnsi="Times New Roman" w:cs="Times New Roman"/>
          <w:color w:val="222222"/>
          <w:sz w:val="24"/>
          <w:szCs w:val="24"/>
          <w:shd w:val="clear" w:color="auto" w:fill="FFFFFF"/>
        </w:rPr>
        <w:t>(3), 298-315.</w:t>
      </w:r>
    </w:p>
    <w:sectPr w:rsidR="00C0531A" w:rsidRPr="001C03A7" w:rsidSect="00BF6C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5149D"/>
    <w:rsid w:val="00011D5F"/>
    <w:rsid w:val="00024EF4"/>
    <w:rsid w:val="00057471"/>
    <w:rsid w:val="000E1B51"/>
    <w:rsid w:val="000F26D2"/>
    <w:rsid w:val="00106D9A"/>
    <w:rsid w:val="001C03A7"/>
    <w:rsid w:val="002B390A"/>
    <w:rsid w:val="002C0343"/>
    <w:rsid w:val="002C2108"/>
    <w:rsid w:val="00381AEC"/>
    <w:rsid w:val="00394AA1"/>
    <w:rsid w:val="004A70B2"/>
    <w:rsid w:val="00653E33"/>
    <w:rsid w:val="006E7AB4"/>
    <w:rsid w:val="00752979"/>
    <w:rsid w:val="007773A2"/>
    <w:rsid w:val="00822671"/>
    <w:rsid w:val="008D7A5E"/>
    <w:rsid w:val="00A00341"/>
    <w:rsid w:val="00A40AED"/>
    <w:rsid w:val="00A644BE"/>
    <w:rsid w:val="00A7772D"/>
    <w:rsid w:val="00AB784C"/>
    <w:rsid w:val="00AD0077"/>
    <w:rsid w:val="00B14FAE"/>
    <w:rsid w:val="00BE655E"/>
    <w:rsid w:val="00BF6CAF"/>
    <w:rsid w:val="00C0531A"/>
    <w:rsid w:val="00C2242C"/>
    <w:rsid w:val="00CA402B"/>
    <w:rsid w:val="00CF388B"/>
    <w:rsid w:val="00D403EB"/>
    <w:rsid w:val="00D56453"/>
    <w:rsid w:val="00D62B70"/>
    <w:rsid w:val="00DB4CDF"/>
    <w:rsid w:val="00E14CB4"/>
    <w:rsid w:val="00E16236"/>
    <w:rsid w:val="00E33271"/>
    <w:rsid w:val="00F12166"/>
    <w:rsid w:val="00F514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2020-08-15T21:05:00Z</dcterms:created>
  <dcterms:modified xsi:type="dcterms:W3CDTF">2020-08-15T21:05:00Z</dcterms:modified>
</cp:coreProperties>
</file>